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1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1533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Bhanji Muna</w:t>
              </w:r>
            </w:hyperlink>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ARDELYX,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ARDX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0000EE"/>
            </w:tcBorders>
            <w:vMerge w:val="continue"/>
          </w:tcPr>
          <w:p>
            <w:pPr>
              <w:spacing w:after="0"/>
              <w:rPr>
                <w:sz w:val="4"/>
                <w:szCs w:val="4"/>
                <w:color w:val="auto"/>
              </w:rPr>
            </w:pPr>
          </w:p>
        </w:tc>
        <w:tc>
          <w:tcPr>
            <w:tcW w:w="16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ARDELYX, INC.</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06/16/2026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400 FIFTH AVENUE, SUITE 210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WALTHAM</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02451</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20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3"/>
          </w:tcPr>
          <w:p>
            <w:pPr>
              <w:ind w:left="14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26,455</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3"/>
                <w:szCs w:val="13"/>
                <w:color w:val="0000FF"/>
                <w:w w:val="99"/>
              </w:rPr>
              <w:t>163,808</w:t>
            </w: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3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700" w:type="dxa"/>
            <w:vAlign w:val="bottom"/>
            <w:vMerge w:val="restart"/>
          </w:tcPr>
          <w:p>
            <w:pPr>
              <w:ind w:left="26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5.67</w:t>
            </w: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0000FF"/>
              </w:rPr>
              <w:t>06/16/2026</w:t>
            </w:r>
          </w:p>
        </w:tc>
        <w:tc>
          <w:tcPr>
            <w:tcW w:w="1020" w:type="dxa"/>
            <w:vAlign w:val="bottom"/>
          </w:tcPr>
          <w:p>
            <w:pPr>
              <w:spacing w:after="0"/>
              <w:rPr>
                <w:sz w:val="12"/>
                <w:szCs w:val="12"/>
                <w:color w:val="auto"/>
              </w:rPr>
            </w:pPr>
          </w:p>
        </w:tc>
        <w:tc>
          <w:tcPr>
            <w:tcW w:w="8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00FF"/>
              </w:rPr>
              <w:t>39,715</w:t>
            </w:r>
            <w:r>
              <w:rPr>
                <w:rFonts w:ascii="Times New Roman" w:cs="Times New Roman" w:eastAsia="Times New Roman" w:hAnsi="Times New Roman"/>
                <w:sz w:val="17"/>
                <w:szCs w:val="17"/>
                <w:color w:val="008000"/>
                <w:vertAlign w:val="superscript"/>
              </w:rPr>
              <w:t>(2)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06/16/2036</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39,715</w:t>
            </w:r>
          </w:p>
        </w:tc>
        <w:tc>
          <w:tcPr>
            <w:tcW w:w="82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00FF"/>
              </w:rPr>
              <w:t>39,715</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7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 The RSUs were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was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40" w:right="4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Felecia Ettenberg, Attorney-in-Fact</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90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Muna Bhanji</w:t>
            </w:r>
          </w:p>
        </w:tc>
        <w:tc>
          <w:tcPr>
            <w:tcW w:w="124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6905"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2026-06-18T15:10:38Z</dcterms:created>
  <dcterms:modified xsi:type="dcterms:W3CDTF">2026-06-18T15:10:38Z</dcterms:modified>
</cp:coreProperties>
</file>