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7</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0000FF"/>
        </w:rPr>
        <w:t>ARDELYX,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039697107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039697107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JERSEY</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15,057,940.00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15,057,940.00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15,057,940.00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HC</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ARDELYX,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34175 ARDENWOOD BLVD. FREMONT, CA 94555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201 Bishopsgate EC2M 3AE, United Kingdom</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Y9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039697107</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line="107"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JHIUS may be deemed to be the beneficial owner of 14,928,999 shares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6.2 %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240" w:firstLine="6"/>
        <w:spacing w:after="0" w:line="486" w:lineRule="auto"/>
        <w:tabs>
          <w:tab w:leader="none" w:pos="123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14928999</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14928999</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945"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2"/>
          <w:szCs w:val="22"/>
          <w:color w:val="auto"/>
        </w:rPr>
        <w:t>JHIUS, JHIUKL and JHIAIFML are indirect subsidiaries of Janus Henderson and are registered investment advisers furnishing investment advice to Managed Portfolios.</w:t>
      </w: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ectPr>
          <w:pgSz w:w="11900" w:h="16945" w:orient="portrait"/>
          <w:cols w:equalWidth="0" w:num="2">
            <w:col w:w="620" w:space="300"/>
            <w:col w:w="10220"/>
          </w:cols>
          <w:pgMar w:left="360" w:top="126" w:right="399" w:bottom="0" w:gutter="0" w:footer="0" w:header="0"/>
          <w:type w:val="continuous"/>
        </w:sect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right="20"/>
        <w:spacing w:after="0" w:line="282" w:lineRule="auto"/>
        <w:rPr>
          <w:sz w:val="20"/>
          <w:szCs w:val="20"/>
          <w:color w:val="auto"/>
        </w:rPr>
      </w:pPr>
      <w:r>
        <w:rPr>
          <w:rFonts w:ascii="Times New Roman" w:cs="Times New Roman" w:eastAsia="Times New Roman" w:hAnsi="Times New Roman"/>
          <w:sz w:val="21"/>
          <w:szCs w:val="21"/>
          <w:color w:val="auto"/>
        </w:rPr>
        <w:t>Notice of dissolution of a group may be furnished as an exhibit stating the date of the dissolution and that all further filings with respect to transactions in the security reported on will be filed, if required, by members of the group, in</w:t>
      </w:r>
    </w:p>
    <w:p>
      <w:pPr>
        <w:sectPr>
          <w:pgSz w:w="11900" w:h="16945" w:orient="portrait"/>
          <w:cols w:equalWidth="0" w:num="1">
            <w:col w:w="11140"/>
          </w:cols>
          <w:pgMar w:left="360" w:top="126" w:right="399" w:bottom="0" w:gutter="0" w:footer="0" w:header="0"/>
          <w:type w:val="continuous"/>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their individual capacity. See Item 5.</w:t>
      </w:r>
    </w:p>
    <w:p>
      <w:pPr>
        <w:spacing w:after="0" w:line="200" w:lineRule="exact"/>
        <w:rPr>
          <w:sz w:val="20"/>
          <w:szCs w:val="20"/>
          <w:color w:val="auto"/>
        </w:rPr>
      </w:pPr>
    </w:p>
    <w:p>
      <w:pPr>
        <w:spacing w:after="0" w:line="277" w:lineRule="exact"/>
        <w:rPr>
          <w:sz w:val="20"/>
          <w:szCs w:val="20"/>
          <w:color w:val="auto"/>
        </w:rPr>
      </w:pPr>
    </w:p>
    <w:p>
      <w:pPr>
        <w:jc w:val="center"/>
        <w:ind w:right="8920"/>
        <w:spacing w:after="0"/>
        <w:rPr>
          <w:sz w:val="20"/>
          <w:szCs w:val="20"/>
          <w:color w:val="auto"/>
        </w:rPr>
      </w:pPr>
      <w:r>
        <w:rPr>
          <w:rFonts w:ascii="Times New Roman" w:cs="Times New Roman" w:eastAsia="Times New Roman" w:hAnsi="Times New Roman"/>
          <w:sz w:val="22"/>
          <w:szCs w:val="22"/>
          <w:color w:val="auto"/>
        </w:rPr>
        <w:t>N/A</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152" w:lineRule="exact"/>
        <w:rPr>
          <w:sz w:val="20"/>
          <w:szCs w:val="20"/>
          <w:color w:val="auto"/>
        </w:rPr>
      </w:pPr>
    </w:p>
    <w:p>
      <w:pPr>
        <w:ind w:left="4980"/>
        <w:spacing w:after="0"/>
        <w:tabs>
          <w:tab w:leader="none" w:pos="6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Kristin Mariani</w:t>
      </w:r>
    </w:p>
    <w:p>
      <w:pPr>
        <w:spacing w:after="0" w:line="4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Name/Title: Head of North America Compliance, CCO</w:t>
      </w:r>
    </w:p>
    <w:p>
      <w:pPr>
        <w:spacing w:after="0" w:line="44" w:lineRule="exact"/>
        <w:rPr>
          <w:sz w:val="20"/>
          <w:szCs w:val="20"/>
          <w:color w:val="auto"/>
        </w:rPr>
      </w:pPr>
    </w:p>
    <w:p>
      <w:pPr>
        <w:ind w:left="4980"/>
        <w:spacing w:after="0"/>
        <w:tabs>
          <w:tab w:leader="none" w:pos="6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1"/>
          <w:szCs w:val="21"/>
          <w:color w:val="auto"/>
        </w:rPr>
        <w:t>POWER OF ATTORNEY The undersigned, Janus Henderson Group plc ("the Company"), does hereby make, constitute and appoint each of Kristin Mariani and Caroline Barotti acting severally, as its true and lawful attorneys in-fact, for the purpose of, from time to time, executing in its name and on its behalf, whether the Company individually or as representative of others, any and all documents, certificates, instruments, statements, other filings and amendments to 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 This power of attorney shall be valid from the date hereof and shall remain in full force and effect until either revoked in writing by the Company, or, in respect of any attorney-in-fact named herein, until such person ceases to be an employee of the Company or one of its affiliates. IN WITNESS WHEREOF, the undersigned has caused this power of attorney to be executed as of this 9th day of December, 2022. Janus Henderson Group plc By: /s/ Michelle Rosenberg Name: Michelle Rosenberg Title: General Counsel and Company Secretary</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2025-08-14T10:37:26Z</dcterms:created>
  <dcterms:modified xsi:type="dcterms:W3CDTF">2025-08-14T10:37:26Z</dcterms:modified>
</cp:coreProperties>
</file>