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97"/>
        </w:trPr>
        <w:tc>
          <w:tcPr>
            <w:tcW w:w="2640" w:type="dxa"/>
            <w:vAlign w:val="bottom"/>
          </w:tcPr>
          <w:p>
            <w:pPr>
              <w:spacing w:after="0"/>
              <w:rPr>
                <w:sz w:val="24"/>
                <w:szCs w:val="24"/>
                <w:color w:val="auto"/>
              </w:rPr>
            </w:pPr>
          </w:p>
        </w:tc>
        <w:tc>
          <w:tcPr>
            <w:tcW w:w="8600" w:type="dxa"/>
            <w:vAlign w:val="bottom"/>
          </w:tcPr>
          <w:p>
            <w:pPr>
              <w:jc w:val="center"/>
              <w:ind w:right="2521"/>
              <w:spacing w:after="0"/>
              <w:rPr>
                <w:sz w:val="20"/>
                <w:szCs w:val="20"/>
                <w:color w:val="auto"/>
              </w:rPr>
            </w:pPr>
            <w:r>
              <w:rPr>
                <w:rFonts w:ascii="Arial" w:cs="Arial" w:eastAsia="Arial" w:hAnsi="Arial"/>
                <w:sz w:val="25"/>
                <w:szCs w:val="25"/>
                <w:b w:val="1"/>
                <w:bCs w:val="1"/>
                <w:color w:val="auto"/>
                <w:w w:val="98"/>
              </w:rPr>
              <w:t>UNITED STATES</w:t>
            </w:r>
          </w:p>
        </w:tc>
      </w:tr>
      <w:tr>
        <w:trPr>
          <w:trHeight w:val="292"/>
        </w:trPr>
        <w:tc>
          <w:tcPr>
            <w:tcW w:w="2640" w:type="dxa"/>
            <w:vAlign w:val="bottom"/>
          </w:tcPr>
          <w:p>
            <w:pPr>
              <w:spacing w:after="0"/>
              <w:rPr>
                <w:sz w:val="24"/>
                <w:szCs w:val="24"/>
                <w:color w:val="auto"/>
              </w:rPr>
            </w:pPr>
          </w:p>
        </w:tc>
        <w:tc>
          <w:tcPr>
            <w:tcW w:w="8600" w:type="dxa"/>
            <w:vAlign w:val="bottom"/>
          </w:tcPr>
          <w:p>
            <w:pPr>
              <w:jc w:val="center"/>
              <w:ind w:right="2501"/>
              <w:spacing w:after="0"/>
              <w:rPr>
                <w:sz w:val="20"/>
                <w:szCs w:val="20"/>
                <w:color w:val="auto"/>
              </w:rPr>
            </w:pPr>
            <w:r>
              <w:rPr>
                <w:rFonts w:ascii="Arial" w:cs="Arial" w:eastAsia="Arial" w:hAnsi="Arial"/>
                <w:sz w:val="25"/>
                <w:szCs w:val="25"/>
                <w:b w:val="1"/>
                <w:bCs w:val="1"/>
                <w:color w:val="auto"/>
              </w:rPr>
              <w:t>SECURITIES AND EXCHANGE COMMISSION</w:t>
            </w:r>
          </w:p>
        </w:tc>
      </w:tr>
      <w:tr>
        <w:trPr>
          <w:trHeight w:val="280"/>
        </w:trPr>
        <w:tc>
          <w:tcPr>
            <w:tcW w:w="2640" w:type="dxa"/>
            <w:vAlign w:val="bottom"/>
          </w:tcPr>
          <w:p>
            <w:pPr>
              <w:spacing w:after="0"/>
              <w:rPr>
                <w:sz w:val="24"/>
                <w:szCs w:val="24"/>
                <w:color w:val="auto"/>
              </w:rPr>
            </w:pPr>
          </w:p>
        </w:tc>
        <w:tc>
          <w:tcPr>
            <w:tcW w:w="8600" w:type="dxa"/>
            <w:vAlign w:val="bottom"/>
          </w:tcPr>
          <w:p>
            <w:pPr>
              <w:jc w:val="center"/>
              <w:ind w:right="2501"/>
              <w:spacing w:after="0"/>
              <w:rPr>
                <w:sz w:val="20"/>
                <w:szCs w:val="20"/>
                <w:color w:val="auto"/>
              </w:rPr>
            </w:pPr>
            <w:r>
              <w:rPr>
                <w:rFonts w:ascii="Arial" w:cs="Arial" w:eastAsia="Arial" w:hAnsi="Arial"/>
                <w:sz w:val="22"/>
                <w:szCs w:val="22"/>
                <w:b w:val="1"/>
                <w:bCs w:val="1"/>
                <w:color w:val="auto"/>
                <w:w w:val="88"/>
              </w:rPr>
              <w:t>Washington, D.C. 20549</w:t>
            </w:r>
          </w:p>
        </w:tc>
      </w:tr>
      <w:tr>
        <w:trPr>
          <w:trHeight w:val="105"/>
        </w:trPr>
        <w:tc>
          <w:tcPr>
            <w:tcW w:w="2640" w:type="dxa"/>
            <w:vAlign w:val="bottom"/>
            <w:tcBorders>
              <w:bottom w:val="single" w:sz="8" w:color="auto"/>
            </w:tcBorders>
          </w:tcPr>
          <w:p>
            <w:pPr>
              <w:spacing w:after="0"/>
              <w:rPr>
                <w:sz w:val="9"/>
                <w:szCs w:val="9"/>
                <w:color w:val="auto"/>
              </w:rPr>
            </w:pPr>
          </w:p>
        </w:tc>
        <w:tc>
          <w:tcPr>
            <w:tcW w:w="8600" w:type="dxa"/>
            <w:vAlign w:val="bottom"/>
            <w:tcBorders>
              <w:bottom w:val="single" w:sz="8" w:color="auto"/>
            </w:tcBorders>
          </w:tcPr>
          <w:p>
            <w:pPr>
              <w:spacing w:after="0"/>
              <w:rPr>
                <w:sz w:val="9"/>
                <w:szCs w:val="9"/>
                <w:color w:val="auto"/>
              </w:rPr>
            </w:pPr>
          </w:p>
        </w:tc>
      </w:tr>
      <w:tr>
        <w:trPr>
          <w:trHeight w:val="487"/>
        </w:trPr>
        <w:tc>
          <w:tcPr>
            <w:tcW w:w="2640" w:type="dxa"/>
            <w:vAlign w:val="bottom"/>
          </w:tcPr>
          <w:p>
            <w:pPr>
              <w:spacing w:after="0"/>
              <w:rPr>
                <w:sz w:val="24"/>
                <w:szCs w:val="24"/>
                <w:color w:val="auto"/>
              </w:rPr>
            </w:pPr>
          </w:p>
        </w:tc>
        <w:tc>
          <w:tcPr>
            <w:tcW w:w="8600" w:type="dxa"/>
            <w:vAlign w:val="bottom"/>
          </w:tcPr>
          <w:p>
            <w:pPr>
              <w:jc w:val="center"/>
              <w:ind w:right="2501"/>
              <w:spacing w:after="0"/>
              <w:rPr>
                <w:sz w:val="20"/>
                <w:szCs w:val="20"/>
                <w:color w:val="auto"/>
              </w:rPr>
            </w:pPr>
            <w:r>
              <w:rPr>
                <w:rFonts w:ascii="Arial" w:cs="Arial" w:eastAsia="Arial" w:hAnsi="Arial"/>
                <w:sz w:val="32"/>
                <w:szCs w:val="32"/>
                <w:b w:val="1"/>
                <w:bCs w:val="1"/>
                <w:color w:val="auto"/>
                <w:w w:val="99"/>
              </w:rPr>
              <w:t>SCHEDULE 14A</w:t>
            </w:r>
          </w:p>
        </w:tc>
      </w:tr>
      <w:tr>
        <w:trPr>
          <w:trHeight w:val="444"/>
        </w:trPr>
        <w:tc>
          <w:tcPr>
            <w:tcW w:w="2640" w:type="dxa"/>
            <w:vAlign w:val="bottom"/>
          </w:tcPr>
          <w:p>
            <w:pPr>
              <w:spacing w:after="0"/>
              <w:rPr>
                <w:sz w:val="24"/>
                <w:szCs w:val="24"/>
                <w:color w:val="auto"/>
              </w:rPr>
            </w:pPr>
          </w:p>
        </w:tc>
        <w:tc>
          <w:tcPr>
            <w:tcW w:w="8600" w:type="dxa"/>
            <w:vAlign w:val="bottom"/>
          </w:tcPr>
          <w:p>
            <w:pPr>
              <w:jc w:val="center"/>
              <w:ind w:right="2501"/>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640" w:type="dxa"/>
            <w:vAlign w:val="bottom"/>
          </w:tcPr>
          <w:p>
            <w:pPr>
              <w:spacing w:after="0"/>
              <w:rPr>
                <w:sz w:val="21"/>
                <w:szCs w:val="21"/>
                <w:color w:val="auto"/>
              </w:rPr>
            </w:pPr>
          </w:p>
        </w:tc>
        <w:tc>
          <w:tcPr>
            <w:tcW w:w="8600" w:type="dxa"/>
            <w:vAlign w:val="bottom"/>
          </w:tcPr>
          <w:p>
            <w:pPr>
              <w:jc w:val="center"/>
              <w:ind w:right="2521"/>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0"/>
        </w:trPr>
        <w:tc>
          <w:tcPr>
            <w:tcW w:w="2640" w:type="dxa"/>
            <w:vAlign w:val="bottom"/>
          </w:tcPr>
          <w:p>
            <w:pPr>
              <w:spacing w:after="0"/>
              <w:rPr>
                <w:sz w:val="24"/>
                <w:szCs w:val="24"/>
                <w:color w:val="auto"/>
              </w:rPr>
            </w:pPr>
          </w:p>
        </w:tc>
        <w:tc>
          <w:tcPr>
            <w:tcW w:w="8600" w:type="dxa"/>
            <w:vAlign w:val="bottom"/>
          </w:tcPr>
          <w:p>
            <w:pPr>
              <w:jc w:val="center"/>
              <w:ind w:right="2521"/>
              <w:spacing w:after="0"/>
              <w:rPr>
                <w:sz w:val="20"/>
                <w:szCs w:val="20"/>
                <w:color w:val="auto"/>
              </w:rPr>
            </w:pPr>
            <w:r>
              <w:rPr>
                <w:rFonts w:ascii="Arial" w:cs="Arial" w:eastAsia="Arial" w:hAnsi="Arial"/>
                <w:sz w:val="22"/>
                <w:szCs w:val="22"/>
                <w:b w:val="1"/>
                <w:bCs w:val="1"/>
                <w:color w:val="auto"/>
                <w:w w:val="95"/>
              </w:rPr>
              <w:t>(Amendment No.   )</w:t>
            </w:r>
          </w:p>
        </w:tc>
      </w:tr>
      <w:tr>
        <w:trPr>
          <w:trHeight w:val="105"/>
        </w:trPr>
        <w:tc>
          <w:tcPr>
            <w:tcW w:w="2640" w:type="dxa"/>
            <w:vAlign w:val="bottom"/>
            <w:tcBorders>
              <w:bottom w:val="single" w:sz="8" w:color="auto"/>
            </w:tcBorders>
          </w:tcPr>
          <w:p>
            <w:pPr>
              <w:spacing w:after="0"/>
              <w:rPr>
                <w:sz w:val="9"/>
                <w:szCs w:val="9"/>
                <w:color w:val="auto"/>
              </w:rPr>
            </w:pPr>
          </w:p>
        </w:tc>
        <w:tc>
          <w:tcPr>
            <w:tcW w:w="8600" w:type="dxa"/>
            <w:vAlign w:val="bottom"/>
            <w:tcBorders>
              <w:bottom w:val="single" w:sz="8" w:color="auto"/>
            </w:tcBorders>
          </w:tcPr>
          <w:p>
            <w:pPr>
              <w:spacing w:after="0"/>
              <w:rPr>
                <w:sz w:val="9"/>
                <w:szCs w:val="9"/>
                <w:color w:val="auto"/>
              </w:rPr>
            </w:pPr>
          </w:p>
        </w:tc>
      </w:tr>
      <w:tr>
        <w:trPr>
          <w:trHeight w:val="398"/>
        </w:trPr>
        <w:tc>
          <w:tcPr>
            <w:tcW w:w="2640" w:type="dxa"/>
            <w:vAlign w:val="bottom"/>
          </w:tcPr>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tc>
        <w:tc>
          <w:tcPr>
            <w:tcW w:w="8600" w:type="dxa"/>
            <w:vAlign w:val="bottom"/>
          </w:tcPr>
          <w:p>
            <w:pPr>
              <w:ind w:left="500"/>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tc>
      </w:tr>
      <w:tr>
        <w:trPr>
          <w:trHeight w:val="462"/>
        </w:trPr>
        <w:tc>
          <w:tcPr>
            <w:tcW w:w="2640" w:type="dxa"/>
            <w:vAlign w:val="bottom"/>
          </w:tcPr>
          <w:p>
            <w:pPr>
              <w:spacing w:after="0"/>
              <w:rPr>
                <w:sz w:val="20"/>
                <w:szCs w:val="20"/>
                <w:color w:val="auto"/>
              </w:rPr>
            </w:pPr>
            <w:r>
              <w:rPr>
                <w:rFonts w:ascii="Arial" w:cs="Arial" w:eastAsia="Arial" w:hAnsi="Arial"/>
                <w:sz w:val="22"/>
                <w:szCs w:val="22"/>
                <w:color w:val="auto"/>
                <w:w w:val="99"/>
              </w:rPr>
              <w:t>Check the appropriate box:</w:t>
            </w:r>
          </w:p>
        </w:tc>
        <w:tc>
          <w:tcPr>
            <w:tcW w:w="8600" w:type="dxa"/>
            <w:vAlign w:val="bottom"/>
          </w:tcPr>
          <w:p>
            <w:pPr>
              <w:spacing w:after="0"/>
              <w:rPr>
                <w:sz w:val="24"/>
                <w:szCs w:val="24"/>
                <w:color w:val="auto"/>
              </w:rPr>
            </w:pPr>
          </w:p>
        </w:tc>
      </w:tr>
    </w:tbl>
    <w:p>
      <w:pPr>
        <w:spacing w:after="0" w:line="2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Preliminary Proxy Statement</w:t>
      </w:r>
    </w:p>
    <w:p>
      <w:pPr>
        <w:spacing w:after="0" w:line="21" w:lineRule="exact"/>
        <w:rPr>
          <w:rFonts w:ascii="MS PGothic" w:cs="MS PGothic" w:eastAsia="MS PGothic" w:hAnsi="MS PGothic"/>
          <w:sz w:val="22"/>
          <w:szCs w:val="22"/>
          <w:color w:val="auto"/>
        </w:rPr>
      </w:pPr>
    </w:p>
    <w:p>
      <w:pPr>
        <w:ind w:left="740" w:hanging="732"/>
        <w:spacing w:after="0" w:line="253" w:lineRule="exact"/>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Confidential, for Use of the Commission Only (as permitted by Rule 14a</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6(e)(2))</w:t>
      </w:r>
    </w:p>
    <w:p>
      <w:pPr>
        <w:spacing w:after="0" w:line="3" w:lineRule="exact"/>
        <w:rPr>
          <w:rFonts w:ascii="MS PGothic" w:cs="MS PGothic" w:eastAsia="MS PGothic" w:hAnsi="MS PGothic"/>
          <w:sz w:val="22"/>
          <w:szCs w:val="22"/>
          <w:color w:val="auto"/>
        </w:rPr>
      </w:pPr>
    </w:p>
    <w:p>
      <w:pPr>
        <w:ind w:left="740" w:hanging="732"/>
        <w:spacing w:after="0" w:line="235"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Definitive Proxy Statement</w:t>
      </w:r>
    </w:p>
    <w:p>
      <w:pPr>
        <w:spacing w:after="0" w:line="1" w:lineRule="exact"/>
        <w:rPr>
          <w:sz w:val="24"/>
          <w:szCs w:val="24"/>
          <w:color w:val="auto"/>
        </w:rPr>
      </w:pPr>
    </w:p>
    <w:p>
      <w:pPr>
        <w:ind w:left="740" w:hanging="732"/>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Definitive Additional Materials</w:t>
      </w:r>
    </w:p>
    <w:p>
      <w:pPr>
        <w:spacing w:after="0" w:line="4" w:lineRule="exact"/>
        <w:rPr>
          <w:sz w:val="24"/>
          <w:szCs w:val="24"/>
          <w:color w:val="auto"/>
        </w:rPr>
      </w:pPr>
    </w:p>
    <w:p>
      <w:pPr>
        <w:ind w:left="740" w:hanging="732"/>
        <w:spacing w:after="0" w:line="253" w:lineRule="exact"/>
        <w:tabs>
          <w:tab w:leader="none" w:pos="74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Soliciting Material under Sec.240.14a</w:t>
      </w:r>
      <w:r>
        <w:rPr>
          <w:rFonts w:ascii="MS PGothic" w:cs="MS PGothic" w:eastAsia="MS PGothic" w:hAnsi="MS PGothic"/>
          <w:sz w:val="22"/>
          <w:szCs w:val="22"/>
          <w:color w:val="auto"/>
        </w:rPr>
        <w:t>‑</w:t>
      </w:r>
      <w:r>
        <w:rPr>
          <w:rFonts w:ascii="Arial" w:cs="Arial" w:eastAsia="Arial" w:hAnsi="Arial"/>
          <w:sz w:val="22"/>
          <w:szCs w:val="22"/>
          <w:color w:val="auto"/>
        </w:rPr>
        <w:t>12</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Ardelyx,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209" w:lineRule="exact"/>
        <w:rPr>
          <w:sz w:val="24"/>
          <w:szCs w:val="24"/>
          <w:color w:val="auto"/>
        </w:rPr>
      </w:pPr>
    </w:p>
    <w:p>
      <w:pPr>
        <w:ind w:left="2200"/>
        <w:spacing w:after="0"/>
        <w:rPr>
          <w:sz w:val="20"/>
          <w:szCs w:val="20"/>
          <w:color w:val="auto"/>
        </w:rPr>
      </w:pPr>
      <w:r>
        <w:rPr>
          <w:rFonts w:ascii="Arial" w:cs="Arial" w:eastAsia="Arial" w:hAnsi="Arial"/>
          <w:sz w:val="22"/>
          <w:szCs w:val="22"/>
          <w:b w:val="1"/>
          <w:bCs w:val="1"/>
          <w:color w:val="auto"/>
        </w:rPr>
        <w:t>(Name of Person(s) Filing Proxy Statement, if Other Than The Registrant)</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40" w:hanging="632"/>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40" w:hanging="632"/>
        <w:spacing w:after="0" w:line="207" w:lineRule="exact"/>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w:t>
      </w:r>
      <w:r>
        <w:rPr>
          <w:rFonts w:ascii="MS PGothic" w:cs="MS PGothic" w:eastAsia="MS PGothic" w:hAnsi="MS PGothic"/>
          <w:sz w:val="18"/>
          <w:szCs w:val="18"/>
          <w:color w:val="auto"/>
        </w:rPr>
        <w:t>‑</w:t>
      </w:r>
      <w:r>
        <w:rPr>
          <w:rFonts w:ascii="Arial" w:cs="Arial" w:eastAsia="Arial" w:hAnsi="Arial"/>
          <w:sz w:val="18"/>
          <w:szCs w:val="18"/>
          <w:color w:val="auto"/>
        </w:rPr>
        <w:t>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225" w:lineRule="exact"/>
        <w:rPr>
          <w:rFonts w:ascii="MS PGothic" w:cs="MS PGothic" w:eastAsia="MS PGothic" w:hAnsi="MS PGothic"/>
          <w:sz w:val="18"/>
          <w:szCs w:val="18"/>
          <w:color w:val="auto"/>
        </w:rPr>
      </w:pPr>
    </w:p>
    <w:p>
      <w:pPr>
        <w:ind w:left="1260" w:hanging="618"/>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260" w:hanging="618"/>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260" w:right="160" w:hanging="618"/>
        <w:spacing w:after="0" w:line="223" w:lineRule="exact"/>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29" w:lineRule="exact"/>
        <w:rPr>
          <w:rFonts w:ascii="Arial" w:cs="Arial" w:eastAsia="Arial" w:hAnsi="Arial"/>
          <w:sz w:val="18"/>
          <w:szCs w:val="18"/>
          <w:color w:val="auto"/>
        </w:rPr>
      </w:pPr>
    </w:p>
    <w:p>
      <w:pPr>
        <w:ind w:left="1260" w:hanging="618"/>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260" w:hanging="618"/>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40" w:right="80" w:hanging="632"/>
        <w:spacing w:after="0" w:line="224" w:lineRule="exact"/>
        <w:tabs>
          <w:tab w:leader="none" w:pos="6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w:t>
      </w:r>
      <w:r>
        <w:rPr>
          <w:rFonts w:ascii="MS PGothic" w:cs="MS PGothic" w:eastAsia="MS PGothic" w:hAnsi="MS PGothic"/>
          <w:sz w:val="17"/>
          <w:szCs w:val="17"/>
          <w:color w:val="auto"/>
        </w:rPr>
        <w:t>‑</w:t>
      </w:r>
      <w:r>
        <w:rPr>
          <w:rFonts w:ascii="Arial" w:cs="Arial" w:eastAsia="Arial" w:hAnsi="Arial"/>
          <w:sz w:val="17"/>
          <w:szCs w:val="17"/>
          <w:color w:val="auto"/>
        </w:rPr>
        <w:t>11(a)(2) and identify the filing for which the offsetting fee was paid previously. Identify the previous filing by registration statement number, or the Form or Schedule and the date of its filing.</w:t>
      </w:r>
    </w:p>
    <w:p>
      <w:pPr>
        <w:spacing w:after="0" w:line="201" w:lineRule="exact"/>
        <w:rPr>
          <w:rFonts w:ascii="MS PGothic" w:cs="MS PGothic" w:eastAsia="MS PGothic" w:hAnsi="MS PGothic"/>
          <w:sz w:val="17"/>
          <w:szCs w:val="17"/>
          <w:color w:val="auto"/>
        </w:rPr>
      </w:pPr>
    </w:p>
    <w:p>
      <w:pPr>
        <w:ind w:left="1260" w:hanging="618"/>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260" w:hanging="618"/>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260" w:hanging="618"/>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260" w:hanging="618"/>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151765</wp:posOffset>
            </wp:positionV>
            <wp:extent cx="63347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34760"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-139065</wp:posOffset>
            </wp:positionV>
            <wp:extent cx="63347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4760"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-430530</wp:posOffset>
            </wp:positionV>
            <wp:extent cx="63347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4760"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-721995</wp:posOffset>
            </wp:positionV>
            <wp:extent cx="63347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4760"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-1827530</wp:posOffset>
            </wp:positionV>
            <wp:extent cx="63347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4760"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-2118995</wp:posOffset>
            </wp:positionV>
            <wp:extent cx="63347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34760"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-2410460</wp:posOffset>
            </wp:positionV>
            <wp:extent cx="63347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34760"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-2839085</wp:posOffset>
            </wp:positionV>
            <wp:extent cx="63347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34760" cy="171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-3130550</wp:posOffset>
            </wp:positionV>
            <wp:extent cx="63347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47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0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001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957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9579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2021-04-30T18:10:02Z</dcterms:created>
  <dcterms:modified xsi:type="dcterms:W3CDTF">2021-04-30T18:10:02Z</dcterms:modified>
</cp:coreProperties>
</file>