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903605</wp:posOffset>
            </wp:positionH>
            <wp:positionV relativeFrom="page">
              <wp:posOffset>157480</wp:posOffset>
            </wp:positionV>
            <wp:extent cx="575437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754370" cy="34290"/>
                    </a:xfrm>
                    <a:prstGeom prst="rect">
                      <a:avLst/>
                    </a:prstGeom>
                    <a:noFill/>
                  </pic:spPr>
                </pic:pic>
              </a:graphicData>
            </a:graphic>
          </wp:anchor>
        </w:drawing>
        <w:drawing>
          <wp:anchor simplePos="0" relativeHeight="251657728" behindDoc="1" locked="0" layoutInCell="0" allowOverlap="1">
            <wp:simplePos x="0" y="0"/>
            <wp:positionH relativeFrom="page">
              <wp:posOffset>903605</wp:posOffset>
            </wp:positionH>
            <wp:positionV relativeFrom="page">
              <wp:posOffset>200660</wp:posOffset>
            </wp:positionV>
            <wp:extent cx="575437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54370" cy="8890"/>
                    </a:xfrm>
                    <a:prstGeom prst="rect">
                      <a:avLst/>
                    </a:prstGeom>
                    <a:noFill/>
                  </pic:spPr>
                </pic:pic>
              </a:graphicData>
            </a:graphic>
          </wp:anchor>
        </w:drawing>
        <w:t>UNITED STATES</w:t>
      </w:r>
    </w:p>
    <w:p>
      <w:pPr>
        <w:spacing w:after="0" w:line="36"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87630</wp:posOffset>
            </wp:positionH>
            <wp:positionV relativeFrom="paragraph">
              <wp:posOffset>64770</wp:posOffset>
            </wp:positionV>
            <wp:extent cx="55829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582920" cy="17145"/>
                    </a:xfrm>
                    <a:prstGeom prst="rect">
                      <a:avLst/>
                    </a:prstGeom>
                    <a:noFill/>
                  </pic:spPr>
                </pic:pic>
              </a:graphicData>
            </a:graphic>
          </wp:anchor>
        </w:drawing>
      </w:r>
    </w:p>
    <w:p>
      <w:pPr>
        <w:spacing w:after="0" w:line="185" w:lineRule="exact"/>
        <w:rPr>
          <w:sz w:val="24"/>
          <w:szCs w:val="24"/>
          <w:color w:val="auto"/>
        </w:rPr>
      </w:pPr>
    </w:p>
    <w:p>
      <w:pPr>
        <w:jc w:val="center"/>
        <w:ind w:right="-19"/>
        <w:spacing w:after="0" w:line="334" w:lineRule="exact"/>
        <w:rPr>
          <w:sz w:val="20"/>
          <w:szCs w:val="20"/>
          <w:color w:val="auto"/>
        </w:rPr>
      </w:pPr>
      <w:r>
        <w:rPr>
          <w:rFonts w:ascii="Arial" w:cs="Arial" w:eastAsia="Arial" w:hAnsi="Arial"/>
          <w:sz w:val="29"/>
          <w:szCs w:val="29"/>
          <w:b w:val="1"/>
          <w:bCs w:val="1"/>
          <w:color w:val="auto"/>
        </w:rPr>
        <w:t>FORM 8</w:t>
      </w:r>
      <w:r>
        <w:rPr>
          <w:rFonts w:ascii="MS PGothic" w:cs="MS PGothic" w:eastAsia="MS PGothic" w:hAnsi="MS PGothic"/>
          <w:sz w:val="29"/>
          <w:szCs w:val="29"/>
          <w:b w:val="1"/>
          <w:bCs w:val="1"/>
          <w:color w:val="auto"/>
        </w:rPr>
        <w:t>‑</w:t>
      </w:r>
      <w:r>
        <w:rPr>
          <w:rFonts w:ascii="Arial" w:cs="Arial" w:eastAsia="Arial" w:hAnsi="Arial"/>
          <w:sz w:val="29"/>
          <w:szCs w:val="29"/>
          <w:b w:val="1"/>
          <w:bCs w:val="1"/>
          <w:color w:val="auto"/>
        </w:rPr>
        <w:t>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87630</wp:posOffset>
            </wp:positionH>
            <wp:positionV relativeFrom="paragraph">
              <wp:posOffset>91440</wp:posOffset>
            </wp:positionV>
            <wp:extent cx="55829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582920" cy="8890"/>
                    </a:xfrm>
                    <a:prstGeom prst="rect">
                      <a:avLst/>
                    </a:prstGeom>
                    <a:noFill/>
                  </pic:spPr>
                </pic:pic>
              </a:graphicData>
            </a:graphic>
          </wp:anchor>
        </w:drawing>
      </w:r>
    </w:p>
    <w:p>
      <w:pPr>
        <w:spacing w:after="0" w:line="218"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Pursuant to Section 13 or 15(d)</w:t>
      </w:r>
    </w:p>
    <w:p>
      <w:pPr>
        <w:jc w:val="center"/>
        <w:ind w:right="-1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34" w:lineRule="exact"/>
        <w:rPr>
          <w:sz w:val="24"/>
          <w:szCs w:val="24"/>
          <w:color w:val="auto"/>
        </w:rPr>
      </w:pPr>
    </w:p>
    <w:p>
      <w:pPr>
        <w:jc w:val="center"/>
        <w:ind w:right="-19"/>
        <w:spacing w:after="0"/>
        <w:rPr>
          <w:sz w:val="20"/>
          <w:szCs w:val="20"/>
          <w:color w:val="auto"/>
        </w:rPr>
      </w:pPr>
      <w:r>
        <w:rPr>
          <w:rFonts w:ascii="Arial" w:cs="Arial" w:eastAsia="Arial" w:hAnsi="Arial"/>
          <w:sz w:val="21"/>
          <w:szCs w:val="21"/>
          <w:b w:val="1"/>
          <w:bCs w:val="1"/>
          <w:color w:val="auto"/>
        </w:rPr>
        <w:t>Date of Report (Date of earliest event reported): June 13,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87630</wp:posOffset>
            </wp:positionH>
            <wp:positionV relativeFrom="paragraph">
              <wp:posOffset>86995</wp:posOffset>
            </wp:positionV>
            <wp:extent cx="55829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582920" cy="17145"/>
                    </a:xfrm>
                    <a:prstGeom prst="rect">
                      <a:avLst/>
                    </a:prstGeom>
                    <a:noFill/>
                  </pic:spPr>
                </pic:pic>
              </a:graphicData>
            </a:graphic>
          </wp:anchor>
        </w:drawing>
      </w:r>
    </w:p>
    <w:p>
      <w:pPr>
        <w:spacing w:after="0" w:line="204" w:lineRule="exact"/>
        <w:rPr>
          <w:sz w:val="24"/>
          <w:szCs w:val="24"/>
          <w:color w:val="auto"/>
        </w:rPr>
      </w:pPr>
    </w:p>
    <w:p>
      <w:pPr>
        <w:jc w:val="center"/>
        <w:ind w:right="-19"/>
        <w:spacing w:after="0"/>
        <w:rPr>
          <w:sz w:val="20"/>
          <w:szCs w:val="20"/>
          <w:color w:val="auto"/>
        </w:rPr>
      </w:pPr>
      <w:r>
        <w:rPr>
          <w:rFonts w:ascii="Arial" w:cs="Arial" w:eastAsia="Arial" w:hAnsi="Arial"/>
          <w:sz w:val="40"/>
          <w:szCs w:val="40"/>
          <w:b w:val="1"/>
          <w:bCs w:val="1"/>
          <w:color w:val="auto"/>
        </w:rPr>
        <w:t>ARDELYX, INC.</w:t>
      </w:r>
    </w:p>
    <w:p>
      <w:pPr>
        <w:spacing w:after="0" w:line="3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87630</wp:posOffset>
            </wp:positionH>
            <wp:positionV relativeFrom="paragraph">
              <wp:posOffset>73025</wp:posOffset>
            </wp:positionV>
            <wp:extent cx="55829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582920" cy="8890"/>
                    </a:xfrm>
                    <a:prstGeom prst="rect">
                      <a:avLst/>
                    </a:prstGeom>
                    <a:noFill/>
                  </pic:spPr>
                </pic:pic>
              </a:graphicData>
            </a:graphic>
          </wp:anchor>
        </w:drawing>
      </w:r>
    </w:p>
    <w:p>
      <w:pPr>
        <w:sectPr>
          <w:pgSz w:w="11900" w:h="16838" w:orient="portrait"/>
          <w:cols w:equalWidth="0" w:num="1">
            <w:col w:w="9060"/>
          </w:cols>
          <w:pgMar w:left="1420" w:top="391" w:right="1419" w:bottom="1440" w:gutter="0" w:footer="0" w:header="0"/>
        </w:sectPr>
      </w:pPr>
    </w:p>
    <w:p>
      <w:pPr>
        <w:spacing w:after="0" w:line="313" w:lineRule="exact"/>
        <w:rPr>
          <w:sz w:val="24"/>
          <w:szCs w:val="24"/>
          <w:color w:val="auto"/>
        </w:rPr>
      </w:pPr>
    </w:p>
    <w:p>
      <w:pPr>
        <w:ind w:left="120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93" w:lineRule="exact"/>
        <w:rPr>
          <w:sz w:val="24"/>
          <w:szCs w:val="24"/>
          <w:color w:val="auto"/>
        </w:rPr>
      </w:pPr>
    </w:p>
    <w:p>
      <w:pPr>
        <w:jc w:val="center"/>
        <w:ind w:right="1420"/>
        <w:spacing w:after="0" w:line="184" w:lineRule="exact"/>
        <w:rPr>
          <w:sz w:val="20"/>
          <w:szCs w:val="20"/>
          <w:color w:val="auto"/>
        </w:rPr>
      </w:pPr>
      <w:r>
        <w:rPr>
          <w:rFonts w:ascii="Arial" w:cs="Arial" w:eastAsia="Arial" w:hAnsi="Arial"/>
          <w:sz w:val="16"/>
          <w:szCs w:val="16"/>
          <w:b w:val="1"/>
          <w:bCs w:val="1"/>
          <w:color w:val="auto"/>
        </w:rPr>
        <w:t>001</w:t>
      </w:r>
      <w:r>
        <w:rPr>
          <w:rFonts w:ascii="MS PGothic" w:cs="MS PGothic" w:eastAsia="MS PGothic" w:hAnsi="MS PGothic"/>
          <w:sz w:val="16"/>
          <w:szCs w:val="16"/>
          <w:b w:val="1"/>
          <w:bCs w:val="1"/>
          <w:color w:val="auto"/>
        </w:rPr>
        <w:t>‑</w:t>
      </w:r>
      <w:r>
        <w:rPr>
          <w:rFonts w:ascii="Arial" w:cs="Arial" w:eastAsia="Arial" w:hAnsi="Arial"/>
          <w:sz w:val="16"/>
          <w:szCs w:val="16"/>
          <w:b w:val="1"/>
          <w:bCs w:val="1"/>
          <w:color w:val="auto"/>
        </w:rPr>
        <w:t>36485</w:t>
      </w:r>
    </w:p>
    <w:p>
      <w:pPr>
        <w:spacing w:after="0" w:line="20" w:lineRule="exact"/>
        <w:rPr>
          <w:sz w:val="24"/>
          <w:szCs w:val="24"/>
          <w:color w:val="auto"/>
        </w:rPr>
      </w:pPr>
      <w:r>
        <w:rPr>
          <w:sz w:val="24"/>
          <w:szCs w:val="24"/>
          <w:color w:val="auto"/>
        </w:rPr>
        <w:br w:type="column"/>
      </w:r>
    </w:p>
    <w:p>
      <w:pPr>
        <w:spacing w:after="0" w:line="293" w:lineRule="exact"/>
        <w:rPr>
          <w:sz w:val="24"/>
          <w:szCs w:val="24"/>
          <w:color w:val="auto"/>
        </w:rPr>
      </w:pPr>
    </w:p>
    <w:p>
      <w:pPr>
        <w:spacing w:after="0" w:line="184" w:lineRule="exact"/>
        <w:rPr>
          <w:sz w:val="20"/>
          <w:szCs w:val="20"/>
          <w:color w:val="auto"/>
        </w:rPr>
      </w:pPr>
      <w:r>
        <w:rPr>
          <w:rFonts w:ascii="Arial" w:cs="Arial" w:eastAsia="Arial" w:hAnsi="Arial"/>
          <w:sz w:val="16"/>
          <w:szCs w:val="16"/>
          <w:b w:val="1"/>
          <w:bCs w:val="1"/>
          <w:color w:val="auto"/>
        </w:rPr>
        <w:t>26</w:t>
      </w:r>
      <w:r>
        <w:rPr>
          <w:rFonts w:ascii="MS PGothic" w:cs="MS PGothic" w:eastAsia="MS PGothic" w:hAnsi="MS PGothic"/>
          <w:sz w:val="16"/>
          <w:szCs w:val="16"/>
          <w:b w:val="1"/>
          <w:bCs w:val="1"/>
          <w:color w:val="auto"/>
        </w:rPr>
        <w:t>‑</w:t>
      </w:r>
      <w:r>
        <w:rPr>
          <w:rFonts w:ascii="Arial" w:cs="Arial" w:eastAsia="Arial" w:hAnsi="Arial"/>
          <w:sz w:val="16"/>
          <w:szCs w:val="16"/>
          <w:b w:val="1"/>
          <w:bCs w:val="1"/>
          <w:color w:val="auto"/>
        </w:rPr>
        <w:t>1303944</w:t>
      </w:r>
    </w:p>
    <w:p>
      <w:pPr>
        <w:spacing w:after="0" w:line="31" w:lineRule="exact"/>
        <w:rPr>
          <w:sz w:val="24"/>
          <w:szCs w:val="24"/>
          <w:color w:val="auto"/>
        </w:rPr>
      </w:pPr>
    </w:p>
    <w:p>
      <w:pPr>
        <w:sectPr>
          <w:pgSz w:w="11900" w:h="16838" w:orient="portrait"/>
          <w:cols w:equalWidth="0" w:num="3">
            <w:col w:w="3500" w:space="720"/>
            <w:col w:w="2200" w:space="720"/>
            <w:col w:w="1920"/>
          </w:cols>
          <w:pgMar w:left="1420" w:top="391" w:right="1419" w:bottom="1440" w:gutter="0" w:footer="0" w:header="0"/>
          <w:type w:val="continuous"/>
        </w:sectPr>
      </w:pPr>
    </w:p>
    <w:p>
      <w:pPr>
        <w:spacing w:after="0" w:line="12" w:lineRule="exact"/>
        <w:rPr>
          <w:sz w:val="24"/>
          <w:szCs w:val="24"/>
          <w:color w:val="auto"/>
        </w:rPr>
      </w:pPr>
    </w:p>
    <w:p>
      <w:pPr>
        <w:jc w:val="center"/>
        <w:ind w:right="340"/>
        <w:spacing w:after="0"/>
        <w:rPr>
          <w:sz w:val="20"/>
          <w:szCs w:val="20"/>
          <w:color w:val="auto"/>
        </w:rPr>
      </w:pPr>
      <w:r>
        <w:rPr>
          <w:rFonts w:ascii="Arial" w:cs="Arial" w:eastAsia="Arial" w:hAnsi="Arial"/>
          <w:sz w:val="13"/>
          <w:szCs w:val="13"/>
          <w:b w:val="1"/>
          <w:bCs w:val="1"/>
          <w:color w:val="auto"/>
        </w:rPr>
        <w:t>(State or other jurisdiction</w:t>
      </w:r>
    </w:p>
    <w:p>
      <w:pPr>
        <w:jc w:val="center"/>
        <w:ind w:right="34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760"/>
        <w:spacing w:after="0"/>
        <w:rPr>
          <w:sz w:val="20"/>
          <w:szCs w:val="20"/>
          <w:color w:val="auto"/>
        </w:rPr>
      </w:pPr>
      <w:r>
        <w:rPr>
          <w:rFonts w:ascii="Arial" w:cs="Arial" w:eastAsia="Arial" w:hAnsi="Arial"/>
          <w:sz w:val="14"/>
          <w:szCs w:val="14"/>
          <w:b w:val="1"/>
          <w:bCs w:val="1"/>
          <w:color w:val="auto"/>
        </w:rPr>
        <w:t>(IRS Employer</w:t>
      </w:r>
    </w:p>
    <w:p>
      <w:pPr>
        <w:jc w:val="center"/>
        <w:ind w:right="760"/>
        <w:spacing w:after="0"/>
        <w:rPr>
          <w:sz w:val="20"/>
          <w:szCs w:val="20"/>
          <w:color w:val="auto"/>
        </w:rPr>
      </w:pPr>
      <w:r>
        <w:rPr>
          <w:rFonts w:ascii="Arial" w:cs="Arial" w:eastAsia="Arial" w:hAnsi="Arial"/>
          <w:sz w:val="13"/>
          <w:szCs w:val="13"/>
          <w:b w:val="1"/>
          <w:bCs w:val="1"/>
          <w:color w:val="auto"/>
        </w:rPr>
        <w:t>Identification Number)</w:t>
      </w:r>
    </w:p>
    <w:p>
      <w:pPr>
        <w:spacing w:after="0" w:line="81" w:lineRule="exact"/>
        <w:rPr>
          <w:sz w:val="24"/>
          <w:szCs w:val="24"/>
          <w:color w:val="auto"/>
        </w:rPr>
      </w:pPr>
    </w:p>
    <w:p>
      <w:pPr>
        <w:sectPr>
          <w:pgSz w:w="11900" w:h="16838" w:orient="portrait"/>
          <w:cols w:equalWidth="0" w:num="3">
            <w:col w:w="3480" w:space="720"/>
            <w:col w:w="1940" w:space="720"/>
            <w:col w:w="2200"/>
          </w:cols>
          <w:pgMar w:left="1420" w:top="391" w:right="1419" w:bottom="1440" w:gutter="0" w:footer="0" w:header="0"/>
          <w:type w:val="continuous"/>
        </w:sectPr>
      </w:pPr>
    </w:p>
    <w:p>
      <w:pPr>
        <w:jc w:val="center"/>
        <w:ind w:right="-19"/>
        <w:spacing w:after="0"/>
        <w:rPr>
          <w:sz w:val="20"/>
          <w:szCs w:val="20"/>
          <w:color w:val="auto"/>
        </w:rPr>
      </w:pPr>
      <w:r>
        <w:rPr>
          <w:rFonts w:ascii="Arial" w:cs="Arial" w:eastAsia="Arial" w:hAnsi="Arial"/>
          <w:sz w:val="18"/>
          <w:szCs w:val="18"/>
          <w:b w:val="1"/>
          <w:bCs w:val="1"/>
          <w:color w:val="auto"/>
        </w:rPr>
        <w:t>34175 Ardenwood Blvd., Suite 200</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Fremont, CA 94555</w:t>
      </w:r>
    </w:p>
    <w:p>
      <w:pPr>
        <w:spacing w:after="0" w:line="2" w:lineRule="exact"/>
        <w:rPr>
          <w:sz w:val="24"/>
          <w:szCs w:val="24"/>
          <w:color w:val="auto"/>
        </w:rPr>
      </w:pPr>
    </w:p>
    <w:p>
      <w:pPr>
        <w:jc w:val="center"/>
        <w:ind w:right="-19"/>
        <w:spacing w:after="0"/>
        <w:rPr>
          <w:sz w:val="20"/>
          <w:szCs w:val="20"/>
          <w:color w:val="auto"/>
        </w:rPr>
      </w:pPr>
      <w:r>
        <w:rPr>
          <w:rFonts w:ascii="Arial" w:cs="Arial" w:eastAsia="Arial" w:hAnsi="Arial"/>
          <w:sz w:val="12"/>
          <w:szCs w:val="12"/>
          <w:b w:val="1"/>
          <w:bCs w:val="1"/>
          <w:color w:val="auto"/>
        </w:rPr>
        <w:t>(Address of principal executive offices, including Zip Code)</w:t>
      </w:r>
    </w:p>
    <w:p>
      <w:pPr>
        <w:sectPr>
          <w:pgSz w:w="11900" w:h="16838" w:orient="portrait"/>
          <w:cols w:equalWidth="0" w:num="1">
            <w:col w:w="9060"/>
          </w:cols>
          <w:pgMar w:left="1420" w:top="391" w:right="1419" w:bottom="1440" w:gutter="0" w:footer="0" w:header="0"/>
          <w:type w:val="continuous"/>
        </w:sectPr>
      </w:pPr>
    </w:p>
    <w:p>
      <w:pPr>
        <w:spacing w:after="0" w:line="66" w:lineRule="exact"/>
        <w:rPr>
          <w:sz w:val="24"/>
          <w:szCs w:val="24"/>
          <w:color w:val="auto"/>
        </w:rPr>
      </w:pPr>
    </w:p>
    <w:p>
      <w:pPr>
        <w:jc w:val="center"/>
        <w:spacing w:after="0" w:line="207" w:lineRule="exact"/>
        <w:rPr>
          <w:sz w:val="20"/>
          <w:szCs w:val="20"/>
          <w:color w:val="auto"/>
        </w:rPr>
      </w:pPr>
      <w:r>
        <w:rPr>
          <w:rFonts w:ascii="Arial" w:cs="Arial" w:eastAsia="Arial" w:hAnsi="Arial"/>
          <w:sz w:val="18"/>
          <w:szCs w:val="18"/>
          <w:b w:val="1"/>
          <w:bCs w:val="1"/>
          <w:color w:val="auto"/>
        </w:rPr>
        <w:t>Registrant’s telephone number, including area code: (510) 745</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1700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87630</wp:posOffset>
            </wp:positionH>
            <wp:positionV relativeFrom="paragraph">
              <wp:posOffset>85725</wp:posOffset>
            </wp:positionV>
            <wp:extent cx="55829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582920" cy="17145"/>
                    </a:xfrm>
                    <a:prstGeom prst="rect">
                      <a:avLst/>
                    </a:prstGeom>
                    <a:noFill/>
                  </pic:spPr>
                </pic:pic>
              </a:graphicData>
            </a:graphic>
          </wp:anchor>
        </w:drawing>
      </w:r>
    </w:p>
    <w:p>
      <w:pPr>
        <w:spacing w:after="0" w:line="236" w:lineRule="exact"/>
        <w:rPr>
          <w:sz w:val="24"/>
          <w:szCs w:val="24"/>
          <w:color w:val="auto"/>
        </w:rPr>
      </w:pPr>
    </w:p>
    <w:p>
      <w:pPr>
        <w:ind w:right="460"/>
        <w:spacing w:after="0" w:line="223" w:lineRule="exact"/>
        <w:rPr>
          <w:sz w:val="20"/>
          <w:szCs w:val="20"/>
          <w:color w:val="auto"/>
        </w:rPr>
      </w:pPr>
      <w:r>
        <w:rPr>
          <w:rFonts w:ascii="Arial" w:cs="Arial" w:eastAsia="Arial" w:hAnsi="Arial"/>
          <w:sz w:val="18"/>
          <w:szCs w:val="18"/>
          <w:color w:val="auto"/>
        </w:rPr>
        <w:t>Check the appropriate box below if the Form 8</w:t>
      </w:r>
      <w:r>
        <w:rPr>
          <w:rFonts w:ascii="MS PGothic" w:cs="MS PGothic" w:eastAsia="MS PGothic" w:hAnsi="MS PGothic"/>
          <w:sz w:val="18"/>
          <w:szCs w:val="18"/>
          <w:color w:val="auto"/>
        </w:rPr>
        <w:t>‑</w:t>
      </w:r>
      <w:r>
        <w:rPr>
          <w:rFonts w:ascii="Arial" w:cs="Arial" w:eastAsia="Arial" w:hAnsi="Arial"/>
          <w:sz w:val="18"/>
          <w:szCs w:val="18"/>
          <w:color w:val="auto"/>
        </w:rPr>
        <w:t>K filing is intended to simultaneously satisfy the filing obligation of the registrant under any of the following provisions:</w:t>
      </w:r>
    </w:p>
    <w:p>
      <w:pPr>
        <w:spacing w:after="0" w:line="82" w:lineRule="exact"/>
        <w:rPr>
          <w:sz w:val="24"/>
          <w:szCs w:val="24"/>
          <w:color w:val="auto"/>
        </w:rPr>
      </w:pPr>
    </w:p>
    <w:p>
      <w:pPr>
        <w:ind w:left="380" w:hanging="377"/>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03" w:lineRule="exact"/>
        <w:rPr>
          <w:rFonts w:ascii="MS PGothic" w:cs="MS PGothic" w:eastAsia="MS PGothic" w:hAnsi="MS PGothic"/>
          <w:sz w:val="18"/>
          <w:szCs w:val="18"/>
          <w:color w:val="auto"/>
        </w:rPr>
      </w:pPr>
    </w:p>
    <w:p>
      <w:pPr>
        <w:ind w:left="380" w:hanging="377"/>
        <w:spacing w:after="0" w:line="207" w:lineRule="exact"/>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w:t>
      </w:r>
      <w:r>
        <w:rPr>
          <w:rFonts w:ascii="MS PGothic" w:cs="MS PGothic" w:eastAsia="MS PGothic" w:hAnsi="MS PGothic"/>
          <w:sz w:val="18"/>
          <w:szCs w:val="18"/>
          <w:color w:val="auto"/>
        </w:rPr>
        <w:t>‑</w:t>
      </w:r>
      <w:r>
        <w:rPr>
          <w:rFonts w:ascii="Arial" w:cs="Arial" w:eastAsia="Arial" w:hAnsi="Arial"/>
          <w:sz w:val="18"/>
          <w:szCs w:val="18"/>
          <w:color w:val="auto"/>
        </w:rPr>
        <w:t>12 under the Exchange Act (17 CFR 240.14a</w:t>
      </w:r>
      <w:r>
        <w:rPr>
          <w:rFonts w:ascii="MS PGothic" w:cs="MS PGothic" w:eastAsia="MS PGothic" w:hAnsi="MS PGothic"/>
          <w:sz w:val="18"/>
          <w:szCs w:val="18"/>
          <w:color w:val="auto"/>
        </w:rPr>
        <w:t>‑</w:t>
      </w:r>
      <w:r>
        <w:rPr>
          <w:rFonts w:ascii="Arial" w:cs="Arial" w:eastAsia="Arial" w:hAnsi="Arial"/>
          <w:sz w:val="18"/>
          <w:szCs w:val="18"/>
          <w:color w:val="auto"/>
        </w:rPr>
        <w:t>12)</w:t>
      </w:r>
    </w:p>
    <w:p>
      <w:pPr>
        <w:spacing w:after="0" w:line="103" w:lineRule="exact"/>
        <w:rPr>
          <w:rFonts w:ascii="MS PGothic" w:cs="MS PGothic" w:eastAsia="MS PGothic" w:hAnsi="MS PGothic"/>
          <w:sz w:val="18"/>
          <w:szCs w:val="18"/>
          <w:color w:val="auto"/>
        </w:rPr>
      </w:pPr>
    </w:p>
    <w:p>
      <w:pPr>
        <w:ind w:left="380" w:hanging="377"/>
        <w:spacing w:after="0" w:line="196" w:lineRule="exact"/>
        <w:tabs>
          <w:tab w:leader="none" w:pos="38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Pre-commencement communications pursuant to Rule 14d</w:t>
      </w:r>
      <w:r>
        <w:rPr>
          <w:rFonts w:ascii="MS PGothic" w:cs="MS PGothic" w:eastAsia="MS PGothic" w:hAnsi="MS PGothic"/>
          <w:sz w:val="17"/>
          <w:szCs w:val="17"/>
          <w:color w:val="auto"/>
        </w:rPr>
        <w:t>‑</w:t>
      </w:r>
      <w:r>
        <w:rPr>
          <w:rFonts w:ascii="Arial" w:cs="Arial" w:eastAsia="Arial" w:hAnsi="Arial"/>
          <w:sz w:val="17"/>
          <w:szCs w:val="17"/>
          <w:color w:val="auto"/>
        </w:rPr>
        <w:t>2(b) under the Exchange Act (17 CFR 240.14d</w:t>
      </w:r>
      <w:r>
        <w:rPr>
          <w:rFonts w:ascii="MS PGothic" w:cs="MS PGothic" w:eastAsia="MS PGothic" w:hAnsi="MS PGothic"/>
          <w:sz w:val="17"/>
          <w:szCs w:val="17"/>
          <w:color w:val="auto"/>
        </w:rPr>
        <w:t>‑</w:t>
      </w:r>
      <w:r>
        <w:rPr>
          <w:rFonts w:ascii="Arial" w:cs="Arial" w:eastAsia="Arial" w:hAnsi="Arial"/>
          <w:sz w:val="17"/>
          <w:szCs w:val="17"/>
          <w:color w:val="auto"/>
        </w:rPr>
        <w:t>2(b))</w:t>
      </w:r>
    </w:p>
    <w:p>
      <w:pPr>
        <w:spacing w:after="0" w:line="115" w:lineRule="exact"/>
        <w:rPr>
          <w:rFonts w:ascii="MS PGothic" w:cs="MS PGothic" w:eastAsia="MS PGothic" w:hAnsi="MS PGothic"/>
          <w:sz w:val="17"/>
          <w:szCs w:val="17"/>
          <w:color w:val="auto"/>
        </w:rPr>
      </w:pPr>
    </w:p>
    <w:p>
      <w:pPr>
        <w:ind w:left="380" w:hanging="377"/>
        <w:spacing w:after="0" w:line="196" w:lineRule="exact"/>
        <w:tabs>
          <w:tab w:leader="none" w:pos="38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Pre-commencement communications pursuant to Rule 13e</w:t>
      </w:r>
      <w:r>
        <w:rPr>
          <w:rFonts w:ascii="MS PGothic" w:cs="MS PGothic" w:eastAsia="MS PGothic" w:hAnsi="MS PGothic"/>
          <w:sz w:val="17"/>
          <w:szCs w:val="17"/>
          <w:color w:val="auto"/>
        </w:rPr>
        <w:t>‑</w:t>
      </w:r>
      <w:r>
        <w:rPr>
          <w:rFonts w:ascii="Arial" w:cs="Arial" w:eastAsia="Arial" w:hAnsi="Arial"/>
          <w:sz w:val="17"/>
          <w:szCs w:val="17"/>
          <w:color w:val="auto"/>
        </w:rPr>
        <w:t>4(c) under the Exchange Act (17 CFR 240.13e</w:t>
      </w:r>
      <w:r>
        <w:rPr>
          <w:rFonts w:ascii="MS PGothic" w:cs="MS PGothic" w:eastAsia="MS PGothic" w:hAnsi="MS PGothic"/>
          <w:sz w:val="17"/>
          <w:szCs w:val="17"/>
          <w:color w:val="auto"/>
        </w:rPr>
        <w:t>‑</w:t>
      </w:r>
      <w:r>
        <w:rPr>
          <w:rFonts w:ascii="Arial" w:cs="Arial" w:eastAsia="Arial" w:hAnsi="Arial"/>
          <w:sz w:val="17"/>
          <w:szCs w:val="17"/>
          <w:color w:val="auto"/>
        </w:rPr>
        <w:t>4(c))</w:t>
      </w:r>
    </w:p>
    <w:p>
      <w:pPr>
        <w:spacing w:after="0" w:line="115" w:lineRule="exact"/>
        <w:rPr>
          <w:sz w:val="24"/>
          <w:szCs w:val="24"/>
          <w:color w:val="auto"/>
        </w:rPr>
      </w:pPr>
    </w:p>
    <w:p>
      <w:pPr>
        <w:ind w:right="20"/>
        <w:spacing w:after="0" w:line="224" w:lineRule="exact"/>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(§230.405 of this chapter) or Rule 12b</w:t>
      </w:r>
      <w:r>
        <w:rPr>
          <w:rFonts w:ascii="MS PGothic" w:cs="MS PGothic" w:eastAsia="MS PGothic" w:hAnsi="MS PGothic"/>
          <w:sz w:val="16"/>
          <w:szCs w:val="16"/>
          <w:color w:val="auto"/>
        </w:rPr>
        <w:t>‑</w:t>
      </w:r>
      <w:r>
        <w:rPr>
          <w:rFonts w:ascii="Arial" w:cs="Arial" w:eastAsia="Arial" w:hAnsi="Arial"/>
          <w:sz w:val="16"/>
          <w:szCs w:val="16"/>
          <w:color w:val="auto"/>
        </w:rPr>
        <w:t>2 of the Securities Exchange Act of 1934 (§240.12b</w:t>
      </w:r>
      <w:r>
        <w:rPr>
          <w:rFonts w:ascii="MS PGothic" w:cs="MS PGothic" w:eastAsia="MS PGothic" w:hAnsi="MS PGothic"/>
          <w:sz w:val="16"/>
          <w:szCs w:val="16"/>
          <w:color w:val="auto"/>
        </w:rPr>
        <w:t>‑</w:t>
      </w:r>
      <w:r>
        <w:rPr>
          <w:rFonts w:ascii="Arial" w:cs="Arial" w:eastAsia="Arial" w:hAnsi="Arial"/>
          <w:sz w:val="16"/>
          <w:szCs w:val="16"/>
          <w:color w:val="auto"/>
        </w:rPr>
        <w:t>2 of this chapter).</w:t>
      </w:r>
    </w:p>
    <w:p>
      <w:pPr>
        <w:spacing w:after="0" w:line="4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36" w:lineRule="exact"/>
        <w:rPr>
          <w:sz w:val="24"/>
          <w:szCs w:val="24"/>
          <w:color w:val="auto"/>
        </w:rPr>
      </w:pPr>
    </w:p>
    <w:p>
      <w:pPr>
        <w:ind w:right="80"/>
        <w:spacing w:after="0" w:line="227"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62"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09" w:lineRule="exact"/>
        <w:rPr>
          <w:sz w:val="24"/>
          <w:szCs w:val="24"/>
          <w:color w:val="auto"/>
        </w:rPr>
      </w:pPr>
    </w:p>
    <w:tbl>
      <w:tblPr>
        <w:tblLayout w:type="fixed"/>
        <w:tblInd w:w="0" w:type="dxa"/>
        <w:tblCellMar>
          <w:top w:w="0" w:type="dxa"/>
          <w:left w:w="0" w:type="dxa"/>
          <w:bottom w:w="0" w:type="dxa"/>
          <w:right w:w="0" w:type="dxa"/>
        </w:tblCellMar>
      </w:tblPr>
      <w:tr>
        <w:trPr>
          <w:trHeight w:val="186"/>
        </w:trPr>
        <w:tc>
          <w:tcPr>
            <w:tcW w:w="29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Title of each class</w:t>
            </w:r>
          </w:p>
        </w:tc>
        <w:tc>
          <w:tcPr>
            <w:tcW w:w="26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Trading Symbol(s)</w:t>
            </w:r>
          </w:p>
        </w:tc>
        <w:tc>
          <w:tcPr>
            <w:tcW w:w="3500" w:type="dxa"/>
            <w:vAlign w:val="bottom"/>
          </w:tcPr>
          <w:p>
            <w:pPr>
              <w:jc w:val="center"/>
              <w:spacing w:after="0"/>
              <w:rPr>
                <w:sz w:val="20"/>
                <w:szCs w:val="20"/>
                <w:color w:val="auto"/>
              </w:rPr>
            </w:pPr>
            <w:r>
              <w:rPr>
                <w:rFonts w:ascii="Arial" w:cs="Arial" w:eastAsia="Arial" w:hAnsi="Arial"/>
                <w:sz w:val="14"/>
                <w:szCs w:val="14"/>
                <w:b w:val="1"/>
                <w:bCs w:val="1"/>
                <w:color w:val="auto"/>
                <w:w w:val="90"/>
              </w:rPr>
              <w:t>Name of each exchange on which registered</w:t>
            </w:r>
          </w:p>
        </w:tc>
        <w:tc>
          <w:tcPr>
            <w:tcW w:w="0" w:type="dxa"/>
            <w:vAlign w:val="bottom"/>
          </w:tcPr>
          <w:p>
            <w:pPr>
              <w:spacing w:after="0"/>
              <w:rPr>
                <w:sz w:val="1"/>
                <w:szCs w:val="1"/>
                <w:color w:val="auto"/>
              </w:rPr>
            </w:pPr>
          </w:p>
        </w:tc>
      </w:tr>
      <w:tr>
        <w:trPr>
          <w:trHeight w:val="26"/>
        </w:trPr>
        <w:tc>
          <w:tcPr>
            <w:tcW w:w="2700" w:type="dxa"/>
            <w:vAlign w:val="bottom"/>
            <w:tcBorders>
              <w:bottom w:val="single" w:sz="8" w:color="auto"/>
            </w:tcBorders>
          </w:tcPr>
          <w:p>
            <w:pPr>
              <w:spacing w:after="0"/>
              <w:rPr>
                <w:sz w:val="2"/>
                <w:szCs w:val="2"/>
                <w:color w:val="auto"/>
              </w:rPr>
            </w:pPr>
          </w:p>
        </w:tc>
        <w:tc>
          <w:tcPr>
            <w:tcW w:w="240" w:type="dxa"/>
            <w:vAlign w:val="bottom"/>
            <w:vMerge w:val="restart"/>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c>
          <w:tcPr>
            <w:tcW w:w="240" w:type="dxa"/>
            <w:vAlign w:val="bottom"/>
            <w:vMerge w:val="restart"/>
          </w:tcPr>
          <w:p>
            <w:pPr>
              <w:spacing w:after="0"/>
              <w:rPr>
                <w:sz w:val="2"/>
                <w:szCs w:val="2"/>
                <w:color w:val="auto"/>
              </w:rPr>
            </w:pPr>
          </w:p>
        </w:tc>
        <w:tc>
          <w:tcPr>
            <w:tcW w:w="3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2700" w:type="dxa"/>
            <w:vAlign w:val="bottom"/>
          </w:tcPr>
          <w:p>
            <w:pPr>
              <w:jc w:val="center"/>
              <w:spacing w:after="0"/>
              <w:rPr>
                <w:sz w:val="20"/>
                <w:szCs w:val="20"/>
                <w:color w:val="auto"/>
              </w:rPr>
            </w:pPr>
            <w:r>
              <w:rPr>
                <w:rFonts w:ascii="Arial" w:cs="Arial" w:eastAsia="Arial" w:hAnsi="Arial"/>
                <w:sz w:val="14"/>
                <w:szCs w:val="14"/>
                <w:color w:val="auto"/>
                <w:w w:val="92"/>
              </w:rPr>
              <w:t>Common Stock, par value $0.0001</w:t>
            </w:r>
          </w:p>
        </w:tc>
        <w:tc>
          <w:tcPr>
            <w:tcW w:w="240" w:type="dxa"/>
            <w:vAlign w:val="bottom"/>
            <w:vMerge w:val="continue"/>
          </w:tcPr>
          <w:p>
            <w:pPr>
              <w:spacing w:after="0"/>
              <w:rPr>
                <w:sz w:val="15"/>
                <w:szCs w:val="15"/>
                <w:color w:val="auto"/>
              </w:rPr>
            </w:pPr>
          </w:p>
        </w:tc>
        <w:tc>
          <w:tcPr>
            <w:tcW w:w="2380" w:type="dxa"/>
            <w:vAlign w:val="bottom"/>
          </w:tcPr>
          <w:p>
            <w:pPr>
              <w:jc w:val="center"/>
              <w:spacing w:after="0"/>
              <w:rPr>
                <w:sz w:val="20"/>
                <w:szCs w:val="20"/>
                <w:color w:val="auto"/>
              </w:rPr>
            </w:pPr>
            <w:r>
              <w:rPr>
                <w:rFonts w:ascii="Arial" w:cs="Arial" w:eastAsia="Arial" w:hAnsi="Arial"/>
                <w:sz w:val="14"/>
                <w:szCs w:val="14"/>
                <w:color w:val="auto"/>
              </w:rPr>
              <w:t>ARDX</w:t>
            </w:r>
          </w:p>
        </w:tc>
        <w:tc>
          <w:tcPr>
            <w:tcW w:w="240" w:type="dxa"/>
            <w:vAlign w:val="bottom"/>
            <w:vMerge w:val="continue"/>
          </w:tcPr>
          <w:p>
            <w:pPr>
              <w:spacing w:after="0"/>
              <w:rPr>
                <w:sz w:val="15"/>
                <w:szCs w:val="15"/>
                <w:color w:val="auto"/>
              </w:rPr>
            </w:pPr>
          </w:p>
        </w:tc>
        <w:tc>
          <w:tcPr>
            <w:tcW w:w="3500" w:type="dxa"/>
            <w:vAlign w:val="bottom"/>
          </w:tcPr>
          <w:p>
            <w:pPr>
              <w:jc w:val="center"/>
              <w:spacing w:after="0"/>
              <w:rPr>
                <w:sz w:val="20"/>
                <w:szCs w:val="20"/>
                <w:color w:val="auto"/>
              </w:rPr>
            </w:pPr>
            <w:r>
              <w:rPr>
                <w:rFonts w:ascii="Arial" w:cs="Arial" w:eastAsia="Arial" w:hAnsi="Arial"/>
                <w:sz w:val="14"/>
                <w:szCs w:val="14"/>
                <w:color w:val="auto"/>
                <w:w w:val="93"/>
              </w:rPr>
              <w:t>The Nasdaq Global Market</w:t>
            </w:r>
          </w:p>
        </w:tc>
        <w:tc>
          <w:tcPr>
            <w:tcW w:w="0" w:type="dxa"/>
            <w:vAlign w:val="bottom"/>
          </w:tcPr>
          <w:p>
            <w:pPr>
              <w:spacing w:after="0"/>
              <w:rPr>
                <w:sz w:val="1"/>
                <w:szCs w:val="1"/>
                <w:color w:val="auto"/>
              </w:rPr>
            </w:pPr>
          </w:p>
        </w:tc>
      </w:tr>
      <w:tr>
        <w:trPr>
          <w:trHeight w:val="101"/>
        </w:trPr>
        <w:tc>
          <w:tcPr>
            <w:tcW w:w="270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238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35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41"/>
        </w:trPr>
        <w:tc>
          <w:tcPr>
            <w:tcW w:w="27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238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35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993"/>
        </w:trPr>
        <w:tc>
          <w:tcPr>
            <w:tcW w:w="27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5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391" w:right="141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5.07  Submission of Matters to a Vote Security Holders.</w:t>
      </w:r>
    </w:p>
    <w:p>
      <w:pPr>
        <w:spacing w:after="0" w:line="229"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On June 13, 2019, Ardelyx, Inc. (the “Company”) held its Annual Meeting of Stockholders (the “Annual Meeting”) at the Company’s principal executive offices located at 34175 Ardenwood Blvd., Suite 200 (2nd Floor), Fremont, California 94555. Only stockholders of record at the close of business on April 18, 2019, the record date for the Annual Meeting, were entitled to vote at the Annual Meeting. As of the record date, 62,600,443 shares of the Company’s common stock were outstanding and entitled to vote at the Annual Meeting. At the Annual Meeting, 54,931,471 shares of the Company’s common stock were voted in person or by proxy for the two proposals set forth below, each of which is described in the Company’s Definitive Proxy Statement on Schedule 14A filed with the U.S. Securities and Exchange Commission on April 26, 2019.</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Proposal No. 1 – Election of Directors</w:t>
      </w:r>
    </w:p>
    <w:p>
      <w:pPr>
        <w:spacing w:after="0" w:line="225" w:lineRule="exact"/>
        <w:rPr>
          <w:sz w:val="20"/>
          <w:szCs w:val="20"/>
          <w:color w:val="auto"/>
        </w:rPr>
      </w:pPr>
    </w:p>
    <w:p>
      <w:pPr>
        <w:ind w:right="680"/>
        <w:spacing w:after="0" w:line="308" w:lineRule="auto"/>
        <w:rPr>
          <w:sz w:val="20"/>
          <w:szCs w:val="20"/>
          <w:color w:val="auto"/>
        </w:rPr>
      </w:pPr>
      <w:r>
        <w:rPr>
          <w:rFonts w:ascii="Arial" w:cs="Arial" w:eastAsia="Arial" w:hAnsi="Arial"/>
          <w:sz w:val="17"/>
          <w:szCs w:val="17"/>
          <w:color w:val="auto"/>
        </w:rPr>
        <w:t>The Company’s stockholders elected the Class II director nominees below to the Company’s Board of Directors (the “Board”) to hold office until the 2022 Annual Meeting of Stockholders or until their successors are elected.</w:t>
      </w:r>
    </w:p>
    <w:p>
      <w:pPr>
        <w:spacing w:after="0" w:line="152"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2780" w:type="dxa"/>
            <w:vAlign w:val="bottom"/>
            <w:gridSpan w:val="2"/>
          </w:tcPr>
          <w:p>
            <w:pPr>
              <w:spacing w:after="0"/>
              <w:rPr>
                <w:sz w:val="20"/>
                <w:szCs w:val="20"/>
                <w:color w:val="auto"/>
              </w:rPr>
            </w:pPr>
            <w:r>
              <w:rPr>
                <w:rFonts w:ascii="Arial" w:cs="Arial" w:eastAsia="Arial" w:hAnsi="Arial"/>
                <w:sz w:val="14"/>
                <w:szCs w:val="14"/>
                <w:b w:val="1"/>
                <w:bCs w:val="1"/>
                <w:color w:val="auto"/>
              </w:rPr>
              <w:t>Class II Director Nominees</w:t>
            </w:r>
          </w:p>
        </w:tc>
        <w:tc>
          <w:tcPr>
            <w:tcW w:w="13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Votes For</w:t>
            </w:r>
          </w:p>
        </w:tc>
        <w:tc>
          <w:tcPr>
            <w:tcW w:w="1580" w:type="dxa"/>
            <w:vAlign w:val="bottom"/>
            <w:gridSpan w:val="2"/>
          </w:tcPr>
          <w:p>
            <w:pPr>
              <w:ind w:left="200"/>
              <w:spacing w:after="0"/>
              <w:rPr>
                <w:sz w:val="20"/>
                <w:szCs w:val="20"/>
                <w:color w:val="auto"/>
              </w:rPr>
            </w:pPr>
            <w:r>
              <w:rPr>
                <w:rFonts w:ascii="Arial" w:cs="Arial" w:eastAsia="Arial" w:hAnsi="Arial"/>
                <w:sz w:val="14"/>
                <w:szCs w:val="14"/>
                <w:b w:val="1"/>
                <w:bCs w:val="1"/>
                <w:color w:val="auto"/>
              </w:rPr>
              <w:t>Votes Withheld</w:t>
            </w:r>
          </w:p>
        </w:tc>
        <w:tc>
          <w:tcPr>
            <w:tcW w:w="15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4"/>
              </w:rPr>
              <w:t>Broker Non-Votes</w:t>
            </w:r>
          </w:p>
        </w:tc>
      </w:tr>
      <w:tr>
        <w:trPr>
          <w:trHeight w:val="210"/>
        </w:trPr>
        <w:tc>
          <w:tcPr>
            <w:tcW w:w="25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Geoffrey A. Block, M.D.</w:t>
            </w:r>
          </w:p>
        </w:tc>
        <w:tc>
          <w:tcPr>
            <w:tcW w:w="26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45,145,515</w:t>
            </w:r>
          </w:p>
        </w:tc>
        <w:tc>
          <w:tcPr>
            <w:tcW w:w="24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335,025</w:t>
            </w:r>
          </w:p>
        </w:tc>
        <w:tc>
          <w:tcPr>
            <w:tcW w:w="24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9,450,931</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2780" w:type="dxa"/>
            <w:vAlign w:val="bottom"/>
            <w:gridSpan w:val="2"/>
          </w:tcPr>
          <w:p>
            <w:pPr>
              <w:spacing w:after="0"/>
              <w:rPr>
                <w:sz w:val="20"/>
                <w:szCs w:val="20"/>
                <w:color w:val="auto"/>
              </w:rPr>
            </w:pPr>
            <w:r>
              <w:rPr>
                <w:rFonts w:ascii="Arial" w:cs="Arial" w:eastAsia="Arial" w:hAnsi="Arial"/>
                <w:sz w:val="18"/>
                <w:szCs w:val="18"/>
                <w:color w:val="auto"/>
              </w:rPr>
              <w:t>David Mott</w:t>
            </w:r>
          </w:p>
        </w:tc>
        <w:tc>
          <w:tcPr>
            <w:tcW w:w="1100" w:type="dxa"/>
            <w:vAlign w:val="bottom"/>
          </w:tcPr>
          <w:p>
            <w:pPr>
              <w:jc w:val="center"/>
              <w:spacing w:after="0"/>
              <w:rPr>
                <w:sz w:val="20"/>
                <w:szCs w:val="20"/>
                <w:color w:val="auto"/>
              </w:rPr>
            </w:pPr>
            <w:r>
              <w:rPr>
                <w:rFonts w:ascii="Arial" w:cs="Arial" w:eastAsia="Arial" w:hAnsi="Arial"/>
                <w:sz w:val="18"/>
                <w:szCs w:val="18"/>
                <w:color w:val="auto"/>
                <w:w w:val="88"/>
              </w:rPr>
              <w:t>37,688,802</w:t>
            </w: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7,791,738</w:t>
            </w:r>
          </w:p>
        </w:tc>
        <w:tc>
          <w:tcPr>
            <w:tcW w:w="24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89"/>
              </w:rPr>
              <w:t>9,450,931</w:t>
            </w:r>
          </w:p>
        </w:tc>
        <w:tc>
          <w:tcPr>
            <w:tcW w:w="60" w:type="dxa"/>
            <w:vAlign w:val="bottom"/>
          </w:tcPr>
          <w:p>
            <w:pPr>
              <w:spacing w:after="0"/>
              <w:rPr>
                <w:sz w:val="18"/>
                <w:szCs w:val="18"/>
                <w:color w:val="auto"/>
              </w:rPr>
            </w:pPr>
          </w:p>
        </w:tc>
      </w:tr>
      <w:tr>
        <w:trPr>
          <w:trHeight w:val="216"/>
        </w:trPr>
        <w:tc>
          <w:tcPr>
            <w:tcW w:w="2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Michael Raab</w:t>
            </w: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38,867,562</w:t>
            </w: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6,612,978</w:t>
            </w:r>
          </w:p>
        </w:tc>
        <w:tc>
          <w:tcPr>
            <w:tcW w:w="240" w:type="dxa"/>
            <w:vAlign w:val="bottom"/>
            <w:shd w:val="clear" w:color="auto" w:fill="CCEEFF"/>
          </w:tcPr>
          <w:p>
            <w:pPr>
              <w:spacing w:after="0"/>
              <w:rPr>
                <w:sz w:val="18"/>
                <w:szCs w:val="18"/>
                <w:color w:val="auto"/>
              </w:rPr>
            </w:pP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9,450,931</w:t>
            </w:r>
          </w:p>
        </w:tc>
        <w:tc>
          <w:tcPr>
            <w:tcW w:w="60" w:type="dxa"/>
            <w:vAlign w:val="bottom"/>
            <w:shd w:val="clear" w:color="auto" w:fill="CCEEFF"/>
          </w:tcPr>
          <w:p>
            <w:pPr>
              <w:spacing w:after="0"/>
              <w:rPr>
                <w:sz w:val="18"/>
                <w:szCs w:val="18"/>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Proposal No. 2 - Ratification of Selection of Independent Registered Accounting Firm</w:t>
      </w:r>
    </w:p>
    <w:p>
      <w:pPr>
        <w:spacing w:after="0" w:line="225" w:lineRule="exact"/>
        <w:rPr>
          <w:sz w:val="20"/>
          <w:szCs w:val="20"/>
          <w:color w:val="auto"/>
        </w:rPr>
      </w:pPr>
    </w:p>
    <w:p>
      <w:pPr>
        <w:ind w:right="480"/>
        <w:spacing w:after="0" w:line="308" w:lineRule="auto"/>
        <w:rPr>
          <w:sz w:val="20"/>
          <w:szCs w:val="20"/>
          <w:color w:val="auto"/>
        </w:rPr>
      </w:pPr>
      <w:r>
        <w:rPr>
          <w:rFonts w:ascii="Arial" w:cs="Arial" w:eastAsia="Arial" w:hAnsi="Arial"/>
          <w:sz w:val="17"/>
          <w:szCs w:val="17"/>
          <w:color w:val="auto"/>
        </w:rPr>
        <w:t>The Company’s stockholders ratified the selection, by the Audit Committee of the Board, of Ernst &amp; Young LLP as the independent registered public accounting firm of the Company for the fiscal year ending December 31, 2019.</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20" w:type="dxa"/>
            <w:vAlign w:val="bottom"/>
          </w:tcPr>
          <w:p>
            <w:pPr>
              <w:spacing w:after="0"/>
              <w:rPr>
                <w:sz w:val="14"/>
                <w:szCs w:val="14"/>
                <w:color w:val="auto"/>
              </w:rPr>
            </w:pPr>
          </w:p>
        </w:tc>
        <w:tc>
          <w:tcPr>
            <w:tcW w:w="27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Votes For</w:t>
            </w:r>
          </w:p>
        </w:tc>
        <w:tc>
          <w:tcPr>
            <w:tcW w:w="14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Votes Against</w:t>
            </w:r>
          </w:p>
        </w:tc>
        <w:tc>
          <w:tcPr>
            <w:tcW w:w="15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8"/>
              </w:rPr>
              <w:t>Abstentions</w:t>
            </w: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94"/>
              </w:rPr>
              <w:t>Broker Non-Votes</w:t>
            </w:r>
          </w:p>
        </w:tc>
        <w:tc>
          <w:tcPr>
            <w:tcW w:w="900" w:type="dxa"/>
            <w:vAlign w:val="bottom"/>
          </w:tcPr>
          <w:p>
            <w:pPr>
              <w:spacing w:after="0"/>
              <w:rPr>
                <w:sz w:val="14"/>
                <w:szCs w:val="14"/>
                <w:color w:val="auto"/>
              </w:rPr>
            </w:pPr>
          </w:p>
        </w:tc>
      </w:tr>
      <w:tr>
        <w:trPr>
          <w:trHeight w:val="210"/>
        </w:trPr>
        <w:tc>
          <w:tcPr>
            <w:tcW w:w="920" w:type="dxa"/>
            <w:vAlign w:val="bottom"/>
          </w:tcPr>
          <w:p>
            <w:pPr>
              <w:spacing w:after="0"/>
              <w:rPr>
                <w:sz w:val="18"/>
                <w:szCs w:val="18"/>
                <w:color w:val="auto"/>
              </w:rPr>
            </w:pPr>
          </w:p>
        </w:tc>
        <w:tc>
          <w:tcPr>
            <w:tcW w:w="2520" w:type="dxa"/>
            <w:vAlign w:val="bottom"/>
            <w:tcBorders>
              <w:top w:val="single" w:sz="8" w:color="auto"/>
            </w:tcBorders>
            <w:shd w:val="clear" w:color="auto" w:fill="CCEEFF"/>
          </w:tcPr>
          <w:p>
            <w:pPr>
              <w:jc w:val="right"/>
              <w:ind w:right="779"/>
              <w:spacing w:after="0"/>
              <w:rPr>
                <w:sz w:val="20"/>
                <w:szCs w:val="20"/>
                <w:color w:val="auto"/>
              </w:rPr>
            </w:pPr>
            <w:r>
              <w:rPr>
                <w:rFonts w:ascii="Arial" w:cs="Arial" w:eastAsia="Arial" w:hAnsi="Arial"/>
                <w:sz w:val="18"/>
                <w:szCs w:val="18"/>
                <w:color w:val="auto"/>
              </w:rPr>
              <w:t>54,742,164</w:t>
            </w:r>
          </w:p>
        </w:tc>
        <w:tc>
          <w:tcPr>
            <w:tcW w:w="24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ind w:right="219"/>
              <w:spacing w:after="0"/>
              <w:rPr>
                <w:sz w:val="20"/>
                <w:szCs w:val="20"/>
                <w:color w:val="auto"/>
              </w:rPr>
            </w:pPr>
            <w:r>
              <w:rPr>
                <w:rFonts w:ascii="Arial" w:cs="Arial" w:eastAsia="Arial" w:hAnsi="Arial"/>
                <w:sz w:val="18"/>
                <w:szCs w:val="18"/>
                <w:color w:val="auto"/>
              </w:rPr>
              <w:t>182,201</w:t>
            </w:r>
          </w:p>
        </w:tc>
        <w:tc>
          <w:tcPr>
            <w:tcW w:w="24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ind w:right="359"/>
              <w:spacing w:after="0"/>
              <w:rPr>
                <w:sz w:val="20"/>
                <w:szCs w:val="20"/>
                <w:color w:val="auto"/>
              </w:rPr>
            </w:pPr>
            <w:r>
              <w:rPr>
                <w:rFonts w:ascii="Arial" w:cs="Arial" w:eastAsia="Arial" w:hAnsi="Arial"/>
                <w:sz w:val="18"/>
                <w:szCs w:val="18"/>
                <w:color w:val="auto"/>
              </w:rPr>
              <w:t>7,106</w:t>
            </w:r>
          </w:p>
        </w:tc>
        <w:tc>
          <w:tcPr>
            <w:tcW w:w="240" w:type="dxa"/>
            <w:vAlign w:val="bottom"/>
            <w:tcBorders>
              <w:top w:val="single" w:sz="8" w:color="CCEEFF"/>
            </w:tcBorders>
            <w:shd w:val="clear" w:color="auto" w:fill="CCEEFF"/>
          </w:tcPr>
          <w:p>
            <w:pPr>
              <w:spacing w:after="0"/>
              <w:rPr>
                <w:sz w:val="18"/>
                <w:szCs w:val="18"/>
                <w:color w:val="auto"/>
              </w:rPr>
            </w:pPr>
          </w:p>
        </w:tc>
        <w:tc>
          <w:tcPr>
            <w:tcW w:w="1560" w:type="dxa"/>
            <w:vAlign w:val="bottom"/>
            <w:tcBorders>
              <w:top w:val="single" w:sz="8" w:color="auto"/>
              <w:right w:val="single" w:sz="8" w:color="CCEEFF"/>
            </w:tcBorders>
            <w:shd w:val="clear" w:color="auto" w:fill="CCEEFF"/>
          </w:tcPr>
          <w:p>
            <w:pPr>
              <w:jc w:val="right"/>
              <w:ind w:right="699"/>
              <w:spacing w:after="0"/>
              <w:rPr>
                <w:sz w:val="20"/>
                <w:szCs w:val="20"/>
                <w:color w:val="auto"/>
              </w:rPr>
            </w:pPr>
            <w:r>
              <w:rPr>
                <w:rFonts w:ascii="Arial" w:cs="Arial" w:eastAsia="Arial" w:hAnsi="Arial"/>
                <w:sz w:val="18"/>
                <w:szCs w:val="18"/>
                <w:color w:val="auto"/>
              </w:rPr>
              <w:t>0</w:t>
            </w:r>
          </w:p>
        </w:tc>
        <w:tc>
          <w:tcPr>
            <w:tcW w:w="900" w:type="dxa"/>
            <w:vAlign w:val="bottom"/>
          </w:tcPr>
          <w:p>
            <w:pPr>
              <w:spacing w:after="0"/>
              <w:rPr>
                <w:sz w:val="18"/>
                <w:szCs w:val="18"/>
                <w:color w:val="auto"/>
              </w:rPr>
            </w:pPr>
          </w:p>
        </w:tc>
      </w:tr>
      <w:tr>
        <w:trPr>
          <w:trHeight w:val="777"/>
        </w:trPr>
        <w:tc>
          <w:tcPr>
            <w:tcW w:w="92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r>
    </w:tbl>
    <w:p>
      <w:pPr>
        <w:sectPr>
          <w:pgSz w:w="11900" w:h="16838" w:orient="portrait"/>
          <w:cols w:equalWidth="0" w:num="1">
            <w:col w:w="9060"/>
          </w:cols>
          <w:pgMar w:left="1420" w:top="121" w:right="141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70" w:lineRule="exact"/>
        <w:rPr>
          <w:sz w:val="20"/>
          <w:szCs w:val="20"/>
          <w:color w:val="auto"/>
        </w:rPr>
      </w:pPr>
    </w:p>
    <w:p>
      <w:pPr>
        <w:spacing w:after="0"/>
        <w:tabs>
          <w:tab w:leader="none" w:pos="4520" w:val="left"/>
        </w:tabs>
        <w:rPr>
          <w:sz w:val="20"/>
          <w:szCs w:val="20"/>
          <w:color w:val="auto"/>
        </w:rPr>
      </w:pPr>
      <w:r>
        <w:rPr>
          <w:rFonts w:ascii="Arial" w:cs="Arial" w:eastAsia="Arial" w:hAnsi="Arial"/>
          <w:sz w:val="18"/>
          <w:szCs w:val="18"/>
          <w:color w:val="auto"/>
        </w:rPr>
        <w:t>Date: June 14, 2019</w:t>
      </w:r>
      <w:r>
        <w:rPr>
          <w:sz w:val="20"/>
          <w:szCs w:val="20"/>
          <w:color w:val="auto"/>
        </w:rPr>
        <w:tab/>
      </w:r>
      <w:r>
        <w:rPr>
          <w:rFonts w:ascii="Arial" w:cs="Arial" w:eastAsia="Arial" w:hAnsi="Arial"/>
          <w:sz w:val="17"/>
          <w:szCs w:val="17"/>
          <w:color w:val="auto"/>
        </w:rPr>
        <w:t>ARDELYX, INC.</w:t>
      </w:r>
    </w:p>
    <w:p>
      <w:pPr>
        <w:spacing w:after="0" w:line="225"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By: /s/ Mark Kaufmann</w:t>
      </w:r>
    </w:p>
    <w:p>
      <w:pPr>
        <w:spacing w:after="0" w:line="37"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Mark Kaufmann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3097530</wp:posOffset>
            </wp:positionH>
            <wp:positionV relativeFrom="paragraph">
              <wp:posOffset>-130810</wp:posOffset>
            </wp:positionV>
            <wp:extent cx="265874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3"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485775</wp:posOffset>
            </wp:positionV>
            <wp:extent cx="575437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sectPr>
      <w:pgSz w:w="11900" w:h="16838" w:orient="portrait"/>
      <w:cols w:equalWidth="0" w:num="1">
        <w:col w:w="9060"/>
      </w:cols>
      <w:pgMar w:left="1420" w:top="121" w:right="1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2019-12-01T16:50:45Z</dcterms:created>
  <dcterms:modified xsi:type="dcterms:W3CDTF">2019-12-01T16:50:45Z</dcterms:modified>
</cp:coreProperties>
</file>